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bookmarkStart w:id="0" w:name="_GoBack"/>
      <w:bookmarkEnd w:id="0"/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343C76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G</w:t>
      </w:r>
      <w:r w:rsidR="00BE12EB" w:rsidRPr="00BE12EB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lobal Oil and Gas Industry </w:t>
      </w:r>
      <w:r w:rsidR="00343C76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Analysis </w:t>
      </w:r>
      <w:r w:rsidR="00BE12EB" w:rsidRPr="00BE12EB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- Past Present and Future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0071DB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A1C100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BE12E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Petroleum is important for the global economy because: - It is crucial for national security [12.5]; - It provides an avenue for investing [12.5]. Discuss in detail supporting with relevant examples or scenarios. 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BE12E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is an international oil company (IOC)? Describe its characteristics and goals.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343C7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any two (2) of the major arguments that underpin the curse of oil.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3D4488" w:rsidRPr="00EA4DCA" w:rsidRDefault="00343C76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With respect to any two (2) key issues, discuss in detail government actions that affect the oil and gas industry.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3D4488" w:rsidRPr="00EA4DCA" w:rsidRDefault="00343C76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Give an account on King </w:t>
      </w:r>
      <w:r w:rsidR="00722F67">
        <w:rPr>
          <w:rFonts w:ascii="Calibri Light" w:eastAsia="Times New Roman" w:hAnsi="Calibri Light" w:cs="Tahoma"/>
          <w:lang w:eastAsia="en-GB"/>
        </w:rPr>
        <w:t>Hubbert’s peak oil theory, and Campbell’s prediction of global oil supply respectively.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722F67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Climate change is a significant political issue affecting the oil and gas industry. Give a detailed account on climate change with regards to petroleum exploration and production.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790" w:rsidRDefault="00027790">
      <w:pPr>
        <w:spacing w:after="0" w:line="240" w:lineRule="auto"/>
      </w:pPr>
      <w:r>
        <w:separator/>
      </w:r>
    </w:p>
  </w:endnote>
  <w:endnote w:type="continuationSeparator" w:id="0">
    <w:p w:rsidR="00027790" w:rsidRDefault="0002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790" w:rsidRDefault="00027790">
      <w:pPr>
        <w:spacing w:after="0" w:line="240" w:lineRule="auto"/>
      </w:pPr>
      <w:r>
        <w:separator/>
      </w:r>
    </w:p>
  </w:footnote>
  <w:footnote w:type="continuationSeparator" w:id="0">
    <w:p w:rsidR="00027790" w:rsidRDefault="00027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0071DB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071DB"/>
    <w:rsid w:val="00027790"/>
    <w:rsid w:val="00060B9D"/>
    <w:rsid w:val="000963A7"/>
    <w:rsid w:val="000A29C9"/>
    <w:rsid w:val="00126C17"/>
    <w:rsid w:val="001E04F5"/>
    <w:rsid w:val="002128AF"/>
    <w:rsid w:val="00284840"/>
    <w:rsid w:val="002857F6"/>
    <w:rsid w:val="002B28DC"/>
    <w:rsid w:val="002E5F63"/>
    <w:rsid w:val="00343C76"/>
    <w:rsid w:val="00355279"/>
    <w:rsid w:val="003C4335"/>
    <w:rsid w:val="003D4488"/>
    <w:rsid w:val="003F633C"/>
    <w:rsid w:val="00443C91"/>
    <w:rsid w:val="00492F72"/>
    <w:rsid w:val="0049630A"/>
    <w:rsid w:val="004A4F31"/>
    <w:rsid w:val="00563A51"/>
    <w:rsid w:val="005D022C"/>
    <w:rsid w:val="006241F7"/>
    <w:rsid w:val="006252B6"/>
    <w:rsid w:val="0062789B"/>
    <w:rsid w:val="006C3923"/>
    <w:rsid w:val="006D4076"/>
    <w:rsid w:val="006F2809"/>
    <w:rsid w:val="00710CB0"/>
    <w:rsid w:val="00722F67"/>
    <w:rsid w:val="00731E09"/>
    <w:rsid w:val="00737DC0"/>
    <w:rsid w:val="007554FB"/>
    <w:rsid w:val="00865740"/>
    <w:rsid w:val="0088385D"/>
    <w:rsid w:val="008946EA"/>
    <w:rsid w:val="008E637A"/>
    <w:rsid w:val="008F73D6"/>
    <w:rsid w:val="009862E2"/>
    <w:rsid w:val="009E53EA"/>
    <w:rsid w:val="00A03873"/>
    <w:rsid w:val="00A36B22"/>
    <w:rsid w:val="00A37FC6"/>
    <w:rsid w:val="00A63C6D"/>
    <w:rsid w:val="00A679F3"/>
    <w:rsid w:val="00AC46D6"/>
    <w:rsid w:val="00AD008E"/>
    <w:rsid w:val="00AF1505"/>
    <w:rsid w:val="00BE12EB"/>
    <w:rsid w:val="00C222D5"/>
    <w:rsid w:val="00C25BA2"/>
    <w:rsid w:val="00C80B1E"/>
    <w:rsid w:val="00C95DFB"/>
    <w:rsid w:val="00D36F2B"/>
    <w:rsid w:val="00D404FA"/>
    <w:rsid w:val="00D63DF5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77EF19-48B8-4C73-99E5-899FDC5E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D483-8555-4B83-8629-3C1EDDEA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2017-12-12T18:37:00Z</cp:lastPrinted>
  <dcterms:created xsi:type="dcterms:W3CDTF">2017-12-14T14:46:00Z</dcterms:created>
  <dcterms:modified xsi:type="dcterms:W3CDTF">2017-12-14T14:46:00Z</dcterms:modified>
</cp:coreProperties>
</file>